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29" w:rsidRPr="007B5529" w:rsidRDefault="007B5529" w:rsidP="007B5529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5529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7B5529">
        <w:rPr>
          <w:rFonts w:ascii="Times New Roman" w:hAnsi="Times New Roman" w:cs="Times New Roman"/>
          <w:sz w:val="24"/>
          <w:szCs w:val="24"/>
        </w:rPr>
        <w:t xml:space="preserve"> и введен в действие</w:t>
      </w:r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Постановлением Госстандарта России</w:t>
      </w:r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от 2 ноября 1995 г. N 560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МЕЖГОСУДАРСТВЕННЫЙ СТАНДАРТ</w:t>
      </w: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БЕЗОПАСНОСТЬ В ЧРЕЗВЫЧАЙНЫХ СИТУАЦИЯХ</w:t>
      </w: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МОНИТОРИНГ И ПРОГНОЗИРОВАНИЕ</w:t>
      </w: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B5529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Pr="007B5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529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7B5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529">
        <w:rPr>
          <w:rFonts w:ascii="Times New Roman" w:hAnsi="Times New Roman" w:cs="Times New Roman"/>
          <w:sz w:val="24"/>
          <w:szCs w:val="24"/>
        </w:rPr>
        <w:t>emergencies</w:t>
      </w:r>
      <w:proofErr w:type="spellEnd"/>
      <w:r w:rsidRPr="007B5529">
        <w:rPr>
          <w:rFonts w:ascii="Times New Roman" w:hAnsi="Times New Roman" w:cs="Times New Roman"/>
          <w:sz w:val="24"/>
          <w:szCs w:val="24"/>
        </w:rPr>
        <w:t xml:space="preserve">. </w:t>
      </w:r>
      <w:r w:rsidRPr="007B5529">
        <w:rPr>
          <w:rFonts w:ascii="Times New Roman" w:hAnsi="Times New Roman" w:cs="Times New Roman"/>
          <w:sz w:val="24"/>
          <w:szCs w:val="24"/>
          <w:lang w:val="en-US"/>
        </w:rPr>
        <w:t>Monitoring</w:t>
      </w: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B5529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7B5529">
        <w:rPr>
          <w:rFonts w:ascii="Times New Roman" w:hAnsi="Times New Roman" w:cs="Times New Roman"/>
          <w:sz w:val="24"/>
          <w:szCs w:val="24"/>
          <w:lang w:val="en-US"/>
        </w:rPr>
        <w:t xml:space="preserve"> forecasting. Basic principles</w:t>
      </w: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B5529" w:rsidRPr="007B5529" w:rsidRDefault="007B5529" w:rsidP="007B552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B5529">
        <w:rPr>
          <w:rFonts w:ascii="Times New Roman" w:hAnsi="Times New Roman" w:cs="Times New Roman"/>
          <w:sz w:val="24"/>
          <w:szCs w:val="24"/>
        </w:rPr>
        <w:t>ГОСТ</w:t>
      </w:r>
      <w:r w:rsidRPr="007B5529">
        <w:rPr>
          <w:rFonts w:ascii="Times New Roman" w:hAnsi="Times New Roman" w:cs="Times New Roman"/>
          <w:sz w:val="24"/>
          <w:szCs w:val="24"/>
          <w:lang w:val="en-US"/>
        </w:rPr>
        <w:t xml:space="preserve"> 22.1.01-97/</w:t>
      </w:r>
      <w:r w:rsidRPr="007B5529">
        <w:rPr>
          <w:rFonts w:ascii="Times New Roman" w:hAnsi="Times New Roman" w:cs="Times New Roman"/>
          <w:sz w:val="24"/>
          <w:szCs w:val="24"/>
        </w:rPr>
        <w:t>ГОСТ</w:t>
      </w:r>
      <w:r w:rsidRPr="007B55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7B552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5529">
        <w:rPr>
          <w:rFonts w:ascii="Times New Roman" w:hAnsi="Times New Roman" w:cs="Times New Roman"/>
          <w:sz w:val="24"/>
          <w:szCs w:val="24"/>
          <w:lang w:val="en-US"/>
        </w:rPr>
        <w:t xml:space="preserve"> 22.1.01-95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Группа Т00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МКС 13.200;</w:t>
      </w:r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ОКСТУ 0022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Дата введения</w:t>
      </w:r>
    </w:p>
    <w:p w:rsidR="007B5529" w:rsidRPr="007B5529" w:rsidRDefault="007B5529" w:rsidP="007B5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1 января 1997 года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Предисловие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B5529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Pr="007B5529">
        <w:rPr>
          <w:rFonts w:ascii="Times New Roman" w:hAnsi="Times New Roman" w:cs="Times New Roman"/>
          <w:sz w:val="24"/>
          <w:szCs w:val="24"/>
        </w:rPr>
        <w:t xml:space="preserve"> Всероссийским научно-исследовательским институтом стандартизации (</w:t>
      </w:r>
      <w:proofErr w:type="spellStart"/>
      <w:r w:rsidRPr="007B5529">
        <w:rPr>
          <w:rFonts w:ascii="Times New Roman" w:hAnsi="Times New Roman" w:cs="Times New Roman"/>
          <w:sz w:val="24"/>
          <w:szCs w:val="24"/>
        </w:rPr>
        <w:t>ВНИИстандарт</w:t>
      </w:r>
      <w:proofErr w:type="spellEnd"/>
      <w:r w:rsidRPr="007B5529">
        <w:rPr>
          <w:rFonts w:ascii="Times New Roman" w:hAnsi="Times New Roman" w:cs="Times New Roman"/>
          <w:sz w:val="24"/>
          <w:szCs w:val="24"/>
        </w:rPr>
        <w:t>) Госстандарта России, доработан с участием рабочей группы специалистов Технического комитета по стандартизации ТК 71 "Гражданская оборона, предупреждение и ликвидация чрезвычайных ситуаций".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529">
        <w:rPr>
          <w:rFonts w:ascii="Times New Roman" w:hAnsi="Times New Roman" w:cs="Times New Roman"/>
          <w:sz w:val="24"/>
          <w:szCs w:val="24"/>
        </w:rPr>
        <w:t>Внесен</w:t>
      </w:r>
      <w:proofErr w:type="gramEnd"/>
      <w:r w:rsidRPr="007B5529">
        <w:rPr>
          <w:rFonts w:ascii="Times New Roman" w:hAnsi="Times New Roman" w:cs="Times New Roman"/>
          <w:sz w:val="24"/>
          <w:szCs w:val="24"/>
        </w:rPr>
        <w:t xml:space="preserve"> Техническим комитетом по стандартизации ТК 71 "Гражданская оборона, предупреждение и ликвидация чрезвычайных ситуаций".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2. Принят и введен в действие Постановлением Госстандарта России от 2 ноября 1995 г. N 560.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7B5529">
        <w:rPr>
          <w:rFonts w:ascii="Times New Roman" w:hAnsi="Times New Roman" w:cs="Times New Roman"/>
          <w:sz w:val="24"/>
          <w:szCs w:val="24"/>
        </w:rPr>
        <w:t xml:space="preserve"> Госстандарта России от 16 апреля 1998 г. N 122 ГОСТ 22.1.01-97 введен в действие в качестве государственного стандарта Российской Федерации с момента принятия указанного постановления и признан имеющим одинаковую силу с ГОСТ </w:t>
      </w:r>
      <w:proofErr w:type="gramStart"/>
      <w:r w:rsidRPr="007B552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5529">
        <w:rPr>
          <w:rFonts w:ascii="Times New Roman" w:hAnsi="Times New Roman" w:cs="Times New Roman"/>
          <w:sz w:val="24"/>
          <w:szCs w:val="24"/>
        </w:rPr>
        <w:t xml:space="preserve"> 22.1.01-95 на территории Российской Федерации в связи с полной аутентичностью их содержания.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3. Введен впервые.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1. Область применения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Настоящий стандарт устанавливает основные положения по составу системы мониторинга состояния окружающей среды (далее - мониторинг) и прогнозирования чрезвычайных ситуаций (ЧС), требования к нормативному и метрологическому обеспечению этой системы.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Положения стандарта подлежат применению органами управления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</w:t>
      </w:r>
      <w:r w:rsidRPr="007B5529">
        <w:rPr>
          <w:rFonts w:ascii="Times New Roman" w:hAnsi="Times New Roman" w:cs="Times New Roman"/>
          <w:sz w:val="24"/>
          <w:szCs w:val="24"/>
        </w:rPr>
        <w:lastRenderedPageBreak/>
        <w:t>входит решение вопросов по защите населения и территорий (акваторий) от ЧС.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2. Нормативные ссылки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В настоящем стандарте использованы ссылки на следующие стандарты: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22.0.02-94</w:t>
        </w:r>
      </w:hyperlink>
      <w:r w:rsidRPr="007B5529">
        <w:rPr>
          <w:rFonts w:ascii="Times New Roman" w:hAnsi="Times New Roman" w:cs="Times New Roman"/>
          <w:sz w:val="24"/>
          <w:szCs w:val="24"/>
        </w:rPr>
        <w:t xml:space="preserve"> &lt;*&gt;. Безопасность в чрезвычайных ситуациях. Термины и определения основных понятий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&lt;*&gt; Действует на территории Российской Федерации.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22.0.03-97/ГОСТ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22.0.03-95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 Безопасность в чрезвычайных ситуациях. Природные чрезвычайные ситуации. Термины и определения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22.0.04-97/ГОСТ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22.0.04-95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 Безопасность в чрезвычайных ситуациях. Биолого-социальные чрезвычайные ситуации. Термины и определения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22.0.05-97/ГОСТ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22.0.05-94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 Безопасность в чрезвычайных ситуациях. Техногенные чрезвычайные ситуации. Термины и определения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22.0.06-97/ГОСТ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22.0.06-95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 Безопасность в чрезвычайных ситуациях. Источники природных чрезвычайных ситуаций. Поражающие факторы. Номенклатура параметров поражающих воздействий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22.1.02-97/ГОСТ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22.1.02-95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 Безопасность в чрезвычайных ситуациях. Мониторинг и прогнозирование. Термины и определения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ГОСТ 28906-91</w:t>
        </w:r>
      </w:hyperlink>
      <w:r w:rsidRPr="007B5529">
        <w:rPr>
          <w:rFonts w:ascii="Times New Roman" w:hAnsi="Times New Roman" w:cs="Times New Roman"/>
          <w:sz w:val="24"/>
          <w:szCs w:val="24"/>
        </w:rPr>
        <w:t xml:space="preserve"> (ИСО 7498-84, Доп. 1-84 ИСО 7498-84). Системы обработки информации. Взаимосвязь открытых систем. Базовая эталонная модель.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53"/>
      <w:bookmarkEnd w:id="1"/>
      <w:r w:rsidRPr="007B5529">
        <w:rPr>
          <w:rFonts w:ascii="Times New Roman" w:hAnsi="Times New Roman" w:cs="Times New Roman"/>
          <w:sz w:val="24"/>
          <w:szCs w:val="24"/>
        </w:rPr>
        <w:t>3. Определения и сокращения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3.1. В настоящем стандарте применяют следующие термины и определения: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3.1.1. Мониторинг окружающей среды - по </w:t>
      </w:r>
      <w:hyperlink r:id="rId13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22.1.02/ГОСТ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22.1.02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3.1.2. Прогнозирование чрезвычайных ситуаций; прогнозирование ЧС - по </w:t>
      </w:r>
      <w:hyperlink r:id="rId14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22.1.02/ГОСТ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22.1.02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3.1.3. Метрологическое обеспечение: установление и применение научных и организационных основ, технических средств, правил и норм, необходимых для достижения единства и требуемой точности измерений.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 Основные положения по составу системы</w:t>
      </w:r>
    </w:p>
    <w:p w:rsidR="007B5529" w:rsidRPr="007B5529" w:rsidRDefault="007B5529" w:rsidP="007B55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мониторинга и прогнозирования ЧС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 Система мониторинга и прогнозирования ЧС состоит из следующих основных элементов: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организационной структуры;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общей модели системы, включая объекты мониторинга;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комплекса технических средств;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моделей ситуации (моделей развития ситуаций);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методов наблюдений, обработки данных, анализа ситуаций и прогнозирования;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информационной системы.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4.1.1. Общая модель системы мониторинга отражает возможность развития следующих ЧС: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- природных чрезвычайных ситуаций, источником которых являются природные процессы и явления, установленные </w:t>
      </w:r>
      <w:hyperlink r:id="rId15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22.0.03/ГОСТ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22.0.03</w:t>
        </w:r>
      </w:hyperlink>
      <w:r w:rsidRPr="007B552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ГОСТ 22.0.06/ГОСТ Р 22.0.06</w:t>
        </w:r>
      </w:hyperlink>
      <w:r w:rsidRPr="007B5529">
        <w:rPr>
          <w:rFonts w:ascii="Times New Roman" w:hAnsi="Times New Roman" w:cs="Times New Roman"/>
          <w:sz w:val="24"/>
          <w:szCs w:val="24"/>
        </w:rPr>
        <w:t>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- биолого-социальных чрезвычайных ситуаций, установленных в </w:t>
      </w:r>
      <w:hyperlink r:id="rId17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22.0.04/ГОСТ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22.0.04</w:t>
        </w:r>
      </w:hyperlink>
      <w:r w:rsidRPr="007B5529">
        <w:rPr>
          <w:rFonts w:ascii="Times New Roman" w:hAnsi="Times New Roman" w:cs="Times New Roman"/>
          <w:sz w:val="24"/>
          <w:szCs w:val="24"/>
        </w:rPr>
        <w:t>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lastRenderedPageBreak/>
        <w:t xml:space="preserve">- техногенных чрезвычайных ситуаций, установленных в </w:t>
      </w:r>
      <w:hyperlink r:id="rId18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22.0.05/ГОСТ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22.0.05</w:t>
        </w:r>
      </w:hyperlink>
      <w:r w:rsidRPr="007B5529">
        <w:rPr>
          <w:rFonts w:ascii="Times New Roman" w:hAnsi="Times New Roman" w:cs="Times New Roman"/>
          <w:sz w:val="24"/>
          <w:szCs w:val="24"/>
        </w:rPr>
        <w:t>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чрезвычайных ситуаций в результате применения современных средств поражения: ядерного, бактериологического, химического оружия и других специальных средств поражения.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4.1.2. Организационная структура в общем случае включает в себя: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- орган управления системы мониторинга соответствующего уровня (по </w:t>
      </w:r>
      <w:hyperlink w:anchor="P105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4.2</w:t>
        </w:r>
      </w:hyperlink>
      <w:r w:rsidRPr="007B5529">
        <w:rPr>
          <w:rFonts w:ascii="Times New Roman" w:hAnsi="Times New Roman" w:cs="Times New Roman"/>
          <w:sz w:val="24"/>
          <w:szCs w:val="24"/>
        </w:rPr>
        <w:t>);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службу наблюдения и контроля (совокупность постов, станций наблюдения и контроля);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службу сбора и обработки информации и выработки рекомендаций по комплексу мероприятий, направленных на предупреждение возникновения ЧС или уменьшения их вредного воздействия на окружающую среду и человека;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службу технического обеспечения деятельности системы.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4.1.3. Комплекс технических средств должен удовлетворять целям наблюдения и контроля: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обеспечивать осуществление измерения требуемых параметров;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обладать необходимой для оценки состояния окружающей среды точностью, достоверностью, оперативностью, уровнем автоматизации (в соответствии с моделью ЧС).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4.1.4. Модели ЧС (модели развития ситуаций) должны содержать: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общее описание ситуаций в зависимости от процесса его проявления;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комплекс характеристик, входных измеряемых параметров состояния окружающей среды, позволяющих идентифицировать ситуацию в целом и отдельные этапы ее развития;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критерии принятия решений.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Примечание. При наличии взаимосвязанных источников ЧС модель должна содержать также перечень источников ЧС и механизм их взаимодействия.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4.1.5. Методы наблюдения и контроля должны содержать: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описание наблюдаемых процессов, явлений и перечень наблюдаемых параметров;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значения наблюдаемых параметров, принятых в качестве нормальных, допустимых и критических;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режим наблюдений - непрерывный или периодический;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точность измерений наблюдаемых параметров;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правила (алгоритм) обработки результатов наблюдений и форму их представления.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4.1.6. Методы прогнозирования ЧС включают: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описание прогнозируемых процессов, явлений;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перечень исходных данных для прогнозирования;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правила оценки репрезентативности исходных данных;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алгоритм прогноза (включая оценку достоверности результатов) и требования к программному и техническому обеспечению;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перечень выходных данных.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4.1.7. Информационная система мониторинга представляет собой распределенную автоматизированную систему оперативного обмена информацией и содержит сеть центров коммутации и абонентских пунктов, обеспечивающую обмен данными, подготовку, сбор, хранение, обработку, анализ и рассылку информации.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Система должна строиться в соответствии с базовой эталонной моделью взаимодействия открытых систем по </w:t>
      </w:r>
      <w:hyperlink r:id="rId19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ГОСТ 28906</w:t>
        </w:r>
      </w:hyperlink>
      <w:r w:rsidRPr="007B5529">
        <w:rPr>
          <w:rFonts w:ascii="Times New Roman" w:hAnsi="Times New Roman" w:cs="Times New Roman"/>
          <w:sz w:val="24"/>
          <w:szCs w:val="24"/>
        </w:rPr>
        <w:t xml:space="preserve"> и иметь унифицированный интерфейс для связи с различными прикладными задачами.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Система должна обеспечивать безопасность и конфиденциальность информации, а также свободный доступ абонентам.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Информационная система мониторинга должна иметь организационное, программное, техническое, математическое, методическое, лингвистическое, </w:t>
      </w:r>
      <w:r w:rsidRPr="007B5529">
        <w:rPr>
          <w:rFonts w:ascii="Times New Roman" w:hAnsi="Times New Roman" w:cs="Times New Roman"/>
          <w:sz w:val="24"/>
          <w:szCs w:val="24"/>
        </w:rPr>
        <w:lastRenderedPageBreak/>
        <w:t>метрологическое и правовое обеспечение.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5"/>
      <w:bookmarkEnd w:id="2"/>
      <w:r w:rsidRPr="007B5529">
        <w:rPr>
          <w:rFonts w:ascii="Times New Roman" w:hAnsi="Times New Roman" w:cs="Times New Roman"/>
          <w:sz w:val="24"/>
          <w:szCs w:val="24"/>
        </w:rPr>
        <w:t xml:space="preserve">4.2. В зависимости от масштаба ЧС, установленного в </w:t>
      </w:r>
      <w:hyperlink r:id="rId20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ГОСТ </w:t>
        </w:r>
        <w:proofErr w:type="gramStart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proofErr w:type="gramEnd"/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 xml:space="preserve"> 22.0.02</w:t>
        </w:r>
      </w:hyperlink>
      <w:r w:rsidRPr="007B5529">
        <w:rPr>
          <w:rFonts w:ascii="Times New Roman" w:hAnsi="Times New Roman" w:cs="Times New Roman"/>
          <w:sz w:val="24"/>
          <w:szCs w:val="24"/>
        </w:rPr>
        <w:t>, различают пять уровней (ступеней) мониторинга: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глобальный;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национальный;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региональный;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местный;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локальный.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Каждый нижеследующий уровень мониторинга входит составной частью в вышеперечисленный уровень.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5. Требования к нормативному обеспечению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5.1. Нормативное обеспечение мониторинга окружающей среды и прогнозирования ЧС включает: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законодательные акты;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нормативные документы по стандартизации: государственные и межгосударственные стандарты;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- нормативные документы, положения и правила, утверждаемые уполномоченным органом государственного управления.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5.2. Объектами нормативного обеспечения являются элементы системы мониторинга и прогнозирования ЧС, установленные в </w:t>
      </w:r>
      <w:hyperlink w:anchor="P53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разделе 3</w:t>
        </w:r>
      </w:hyperlink>
      <w:r w:rsidRPr="007B5529">
        <w:rPr>
          <w:rFonts w:ascii="Times New Roman" w:hAnsi="Times New Roman" w:cs="Times New Roman"/>
          <w:sz w:val="24"/>
          <w:szCs w:val="24"/>
        </w:rPr>
        <w:t>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5.3. В состав комплекса нормативных документов мониторинга включают документы, действие которых распространяется на аналогичные объекты в других областях деятельности, а также специально разрабатываемые документы. Специальные документы разрабатывают при отсутствии нормативных документов на аналогичные объекты или при необходимости установить специфические требования.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6. Требования к метрологическому обеспечению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6.1. Метрологическое обеспечение мониторинга и прогнозирования ЧС осуществляется в целях получения результатов измерений и контроля, использование которых исключает или сводит к допустимому уровню риск принять неправильное решение или получить неверный управляющий сигнал в системах управления.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6.2. Метрологическое обеспечение мониторинга и прогнозирования ЧС должно быть основано на положениях </w:t>
      </w:r>
      <w:hyperlink r:id="rId21" w:history="1">
        <w:r w:rsidRPr="007B5529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7B5529">
        <w:rPr>
          <w:rFonts w:ascii="Times New Roman" w:hAnsi="Times New Roman" w:cs="Times New Roman"/>
          <w:sz w:val="24"/>
          <w:szCs w:val="24"/>
        </w:rPr>
        <w:t xml:space="preserve"> Российской Федерации "Об обеспечении единства измерений", законодательных актах, стандартах и других нормативных документах Государственной системы обеспечения единства измерений.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>6.3. Номенклатура измеряемых величин должна обеспечить оценку и анализ параметров, полно и адекватно отражающих развитие процессов и явлений, их прогноз, и устанавливать на основе создания моделей ситуации (моделей развития ситуации).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529">
        <w:rPr>
          <w:rFonts w:ascii="Times New Roman" w:hAnsi="Times New Roman" w:cs="Times New Roman"/>
          <w:sz w:val="24"/>
          <w:szCs w:val="24"/>
        </w:rPr>
        <w:t xml:space="preserve">6.4. Требования к точности измерений устанавливают, </w:t>
      </w:r>
      <w:proofErr w:type="gramStart"/>
      <w:r w:rsidRPr="007B5529">
        <w:rPr>
          <w:rFonts w:ascii="Times New Roman" w:hAnsi="Times New Roman" w:cs="Times New Roman"/>
          <w:sz w:val="24"/>
          <w:szCs w:val="24"/>
        </w:rPr>
        <w:t>исходя из необходимости исключения или снижения до допустимого уровня риска принять</w:t>
      </w:r>
      <w:proofErr w:type="gramEnd"/>
      <w:r w:rsidRPr="007B5529">
        <w:rPr>
          <w:rFonts w:ascii="Times New Roman" w:hAnsi="Times New Roman" w:cs="Times New Roman"/>
          <w:sz w:val="24"/>
          <w:szCs w:val="24"/>
        </w:rPr>
        <w:t xml:space="preserve"> неправильное решение о развитии ситуации и на основе значений параметров, принятых в качестве нормальных (фоновых), допустимых и критических.</w:t>
      </w: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529" w:rsidRPr="007B5529" w:rsidRDefault="007B5529" w:rsidP="007B5529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7B5529" w:rsidRDefault="00566ED7" w:rsidP="007B5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7B5529" w:rsidSect="00785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529"/>
    <w:rsid w:val="00566ED7"/>
    <w:rsid w:val="007B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5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5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5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5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5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55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BBC34A05E4BC5B808618209FA4B8947E2077CFD5DCF3E3B79BDD9786F858A0F2A79C73AA163E40C98F7DF0x9L" TargetMode="External"/><Relationship Id="rId13" Type="http://schemas.openxmlformats.org/officeDocument/2006/relationships/hyperlink" Target="consultantplus://offline/ref=4CBBC34A05E4BC5B808618209FA4B8947D2A76CDD5DCF3E3B79BDD9786F858A0F2A79C73AA163E40C98F7DF0x9L" TargetMode="External"/><Relationship Id="rId18" Type="http://schemas.openxmlformats.org/officeDocument/2006/relationships/hyperlink" Target="consultantplus://offline/ref=4CBBC34A05E4BC5B8086042083A4B8947F217DCDD5DCF3E3B79BDD9786F858A0F2A79C73AA163E40C98F7DF0x9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CBBC34A05E4BC5B808607359AA4B8947C2270CED981F9EBEE97DF9089A75DB5E3FF9075B3083656D58D7F0BF9x6L" TargetMode="External"/><Relationship Id="rId7" Type="http://schemas.openxmlformats.org/officeDocument/2006/relationships/hyperlink" Target="consultantplus://offline/ref=4CBBC34A05E4BC5B808618209FA4B8947E2077CED5DCF3E3B79BDD9786F858A0F2A79C73AA163E40C98F7DF0x9L" TargetMode="External"/><Relationship Id="rId12" Type="http://schemas.openxmlformats.org/officeDocument/2006/relationships/hyperlink" Target="consultantplus://offline/ref=4CBBC34A05E4BC5B8086042083A4B894712474CDD5DCF3E3B79BDD9786F858A0F2A79C73AA163E40C98F7DF0x9L" TargetMode="External"/><Relationship Id="rId17" Type="http://schemas.openxmlformats.org/officeDocument/2006/relationships/hyperlink" Target="consultantplus://offline/ref=4CBBC34A05E4BC5B808618209FA4B8947E2077CFD5DCF3E3B79BDD9786F858A0F2A79C73AA163E40C98F7DF0x9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CBBC34A05E4BC5B808618209FA4B8947D257CCAD5DCF3E3B79BDD9786F858A0F2A79C73AA163E40C98F7DF0x9L" TargetMode="External"/><Relationship Id="rId20" Type="http://schemas.openxmlformats.org/officeDocument/2006/relationships/hyperlink" Target="consultantplus://offline/ref=4CBBC34A05E4BC5B808618209FA4B894792274C5D5DCF3E3B79BDD9786F858A0F2A79C73AA163E40C98F7DF0x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CBBC34A05E4BC5B808618209FA4B894792274C5D5DCF3E3B79BDD9786F858A0F2A79C73AA163E40C98F7DF0x9L" TargetMode="External"/><Relationship Id="rId11" Type="http://schemas.openxmlformats.org/officeDocument/2006/relationships/hyperlink" Target="consultantplus://offline/ref=4CBBC34A05E4BC5B808618209FA4B8947D2A76CDD5DCF3E3B79BDD9786F858A0F2A79C73AA163E40C98F7DF0x9L" TargetMode="External"/><Relationship Id="rId5" Type="http://schemas.openxmlformats.org/officeDocument/2006/relationships/hyperlink" Target="consultantplus://offline/ref=4CBBC34A05E4BC5B80860E2C9DA4B8947A2A75CDD68EA4E1E6CED3928EA802B0F6EEC879B511285EC3917D0994F0x4L" TargetMode="External"/><Relationship Id="rId15" Type="http://schemas.openxmlformats.org/officeDocument/2006/relationships/hyperlink" Target="consultantplus://offline/ref=4CBBC34A05E4BC5B808618209FA4B8947E2077CED5DCF3E3B79BDD9786F858A0F2A79C73AA163E40C98F7DF0x9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CBBC34A05E4BC5B808618209FA4B8947D257CCAD5DCF3E3B79BDD9786F858A0F2A79C73AA163E40C98F7DF0x9L" TargetMode="External"/><Relationship Id="rId19" Type="http://schemas.openxmlformats.org/officeDocument/2006/relationships/hyperlink" Target="consultantplus://offline/ref=4CBBC34A05E4BC5B8086042083A4B894712474CDD5DCF3E3B79BDD9786F858A0F2A79C73AA163E40C98F7DF0x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BBC34A05E4BC5B8086042083A4B8947F217DCDD5DCF3E3B79BDD9786F858A0F2A79C73AA163E40C98F7DF0x9L" TargetMode="External"/><Relationship Id="rId14" Type="http://schemas.openxmlformats.org/officeDocument/2006/relationships/hyperlink" Target="consultantplus://offline/ref=4CBBC34A05E4BC5B808618209FA4B8947D2A76CDD5DCF3E3B79BDD9786F858A0F2A79C73AA163E40C98F7DF0x9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1770</Words>
  <Characters>10089</Characters>
  <Application>Microsoft Office Word</Application>
  <DocSecurity>0</DocSecurity>
  <Lines>84</Lines>
  <Paragraphs>23</Paragraphs>
  <ScaleCrop>false</ScaleCrop>
  <Company/>
  <LinksUpToDate>false</LinksUpToDate>
  <CharactersWithSpaces>11836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2020-08-17T11:49:00Z</dcterms:created>
  <dcterms:modified xsi:type="dcterms:W3CDTF">2020-08-17T11:49:00Z</dcterms:modified>
</cp:coreProperties>
</file>